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jc w:val="center"/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  <w:t>2021年度部门整体支出绩效评价报告</w:t>
      </w:r>
    </w:p>
    <w:p>
      <w:pPr>
        <w:ind w:firstLine="640" w:firstLineChars="200"/>
        <w:jc w:val="center"/>
        <w:rPr>
          <w:rFonts w:hint="eastAsia" w:cs="黑体" w:asciiTheme="minorEastAsia" w:hAnsiTheme="minorEastAsia"/>
          <w:b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为加强预算资金管理，进一步规范预算资金使用，提高财政资金使用效益，我乡积极组织，对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2021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年度本单位整体支出进行了绩效自评，现将具体绩效评价情况报告如下：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一、部门概况</w:t>
      </w:r>
    </w:p>
    <w:p>
      <w:pPr>
        <w:ind w:firstLine="640" w:firstLineChars="200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（一）、基层组织基本情况</w:t>
      </w:r>
    </w:p>
    <w:p>
      <w:pPr>
        <w:ind w:firstLine="640" w:firstLineChars="200"/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val="en-US" w:eastAsia="zh-CN"/>
        </w:rPr>
        <w:t>熟坪乡位于洪江市东南部，八面山西麓，总土地面积127平方公里，辖9个行政村，1个社区,132个村民小组。耕地1143公顷，林地14000公顷，水域面积28万平方米。人口以汉族为主，还有苗族、瑶族、侗族等少数民族。当地特色产业有冰糖柚、制种、花卉、竹木、中药材等。近年来，前往苏宝顶观光、露营的人不断增多，推动了本乡农家乐、住宿业、农产品销售。其中有代表性的为水打坪岩鹰洞农家山庄，年营业额200余万元。乡政府负责制定和组织实施经济、科技和社会发展计划，促进经济发展；制定并组织实施村乡建设规划，部署重点工程建设；负责本行政区域内的民政、扶贫、党建、文化教育、卫生、体育等社会公益事业的综合性工作；按计划组织本级财政收入和地方税的征收，完成国家的财政计划，管好财政资金，增强财政实力；抓精神文明建设，丰富群众文化活动，树立社会主义新风尚。</w:t>
      </w:r>
    </w:p>
    <w:p>
      <w:pPr>
        <w:ind w:firstLine="640" w:firstLineChars="200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（二）、机构编制设置情况</w:t>
      </w:r>
    </w:p>
    <w:p>
      <w:pPr>
        <w:ind w:firstLine="640" w:firstLineChars="200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熟坪乡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按照上级要求内设“四办六中心”（党政综合办公室、经济社会发展办公室、卫生和计划生育办公室、社会管理综合治理办公室，文化和计划生育服务中心、综治维稳安全服务中心、社会保障服务中心、规划建设环保服务中心、农业综合服务中心、林业服务中心）等办公机构。</w:t>
      </w:r>
    </w:p>
    <w:p>
      <w:pPr>
        <w:ind w:firstLine="640" w:firstLineChars="200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（三）部门整体支出规模</w:t>
      </w:r>
    </w:p>
    <w:p>
      <w:pPr>
        <w:ind w:firstLine="640" w:firstLineChars="200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1、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2021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年度完成财政收入预算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1328.86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万元。</w:t>
      </w:r>
    </w:p>
    <w:p>
      <w:pPr>
        <w:ind w:firstLine="640" w:firstLineChars="200"/>
        <w:rPr>
          <w:rFonts w:hint="eastAsia" w:ascii="宋体" w:hAnsi="宋体" w:eastAsia="宋体" w:cs="宋体"/>
          <w:color w:val="000000"/>
          <w:kern w:val="0"/>
          <w:sz w:val="32"/>
          <w:szCs w:val="32"/>
        </w:rPr>
      </w:pP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2、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  <w:lang w:eastAsia="zh-CN"/>
        </w:rPr>
        <w:t>2021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年度财政预算支出共计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13.28.86</w:t>
      </w:r>
      <w:r>
        <w:rPr>
          <w:rFonts w:hint="eastAsia" w:ascii="宋体" w:hAnsi="宋体" w:eastAsia="宋体" w:cs="宋体"/>
          <w:color w:val="000000"/>
          <w:kern w:val="0"/>
          <w:sz w:val="32"/>
          <w:szCs w:val="32"/>
        </w:rPr>
        <w:t>万元。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二、部门整体收入支出情况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1、一般公共服务支出，决算收入金额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676.86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万元，占总收入比重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50.94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%；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2、社会保障和就业支出，决算收入金额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56.81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万元，占总收入比重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4.28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%；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3、卫生健康支出，决算收入金额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26.63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万元，占总收入比重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%；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4、农林水支出，决算收入金额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524.49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万元，占总收入比重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39.47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%；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5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、住房保障支出，决算收入金额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12.85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万元，占总收入比重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0.97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%；</w:t>
      </w:r>
    </w:p>
    <w:p>
      <w:pPr>
        <w:ind w:firstLine="640" w:firstLineChars="200"/>
        <w:rPr>
          <w:rFonts w:hint="eastAsia"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、自然资源海洋气象等支出，决算收入金额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10.07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万元，占总收入比重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0.76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%。</w:t>
      </w:r>
    </w:p>
    <w:p>
      <w:pPr>
        <w:ind w:firstLine="640" w:firstLineChars="200"/>
        <w:rPr>
          <w:rFonts w:hint="default" w:cs="黑体" w:asciiTheme="minorEastAsia" w:hAnsiTheme="minorEastAsia" w:eastAsiaTheme="minorEastAsia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8.其他类支出，决算类收入金额21.15万元，占总收入比重1.59%。</w:t>
      </w:r>
    </w:p>
    <w:p>
      <w:pPr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</w:rPr>
        <w:t>三、部门整体支出绩效情况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2021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年，我乡通过加强预算收支的管理，不断建立健全内部管理制度，理顺内部管理流程，部门整体支出管理情况得到了提升。部门整体支出绩效情况如下：</w:t>
      </w:r>
      <w:bookmarkStart w:id="0" w:name="_GoBack"/>
      <w:bookmarkEnd w:id="0"/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（一）经济性评价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1、从源头抓起，科学合理编制经费预算。根据中央和省财政预算改革的有关要求，结合我市工作的实际需要，按标准、按项目科学认真编制部门预算。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2、预算执行方面，支出总额基本控制在预算总额以内；不存在截留或滞留专项资金情况。具体情况如下：三公用经费控制率：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2021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年预算安排三公经费总额2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万元，实际支出三公经费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val="en-US" w:eastAsia="zh-CN"/>
        </w:rPr>
        <w:t>20.26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万元。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（二）行政效能评价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为强化部门整体支出，加强国有资产管理，提高资金使用效益，提升财务管理，建立节约型机关，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  <w:lang w:eastAsia="zh-CN"/>
        </w:rPr>
        <w:t>2021</w:t>
      </w: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年我乡在强化业务管理、财务管理和厉行节约方面开展了大量工作，行政效能显著。在原有相对健全的财务管理制度基础上，适时地、针对性的进行了相关制度的增补，制度的建立更为完善。重视制度的学习和宣讲工作，并已逐步形成了崇尚厉行节约反对浪费的机关文化。根据中央、湖南省、洪江市人民政府下发的《党政机关厉行节约反对浪费条例》、《湖南省党政机关国内公务接待管理办法》、《洪江市市直机关差旅费管理办法》等一系列文件精神，及时将上述文件精神在机关各处室进行转发，组织机关人员学习，将厉行节约反对浪费教育作为机关作风建设的重要内容，极大强化了机关厉行节约管理意识。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建立了经费支出定期汇报和公示机制，经费支出的公开透明性得到提高。除按照财政要求对部门预算、“三公”经费进行例行公示外，根据经费支出情况，定期对各部门经费支出进行公示和财务分析，对经费支出的管理状况提出建设性的意见；使各项经费管理和监督发挥了较好的作用。</w:t>
      </w:r>
    </w:p>
    <w:p>
      <w:pPr>
        <w:ind w:firstLine="640" w:firstLineChars="200"/>
        <w:rPr>
          <w:rFonts w:cs="黑体" w:asciiTheme="minorEastAsia" w:hAnsiTheme="minorEastAsia"/>
          <w:color w:val="000000"/>
          <w:kern w:val="0"/>
          <w:sz w:val="32"/>
          <w:szCs w:val="32"/>
        </w:rPr>
      </w:pPr>
      <w:r>
        <w:rPr>
          <w:rFonts w:hint="eastAsia" w:cs="黑体" w:asciiTheme="minorEastAsia" w:hAnsiTheme="minorEastAsia"/>
          <w:color w:val="000000"/>
          <w:kern w:val="0"/>
          <w:sz w:val="32"/>
          <w:szCs w:val="32"/>
        </w:rPr>
        <w:t>严格执行了国库集中支付、政府采购等有关规定，政府采购目录内的货物与服务全部按要求实施了政府采购，确保了支出管理流程、审批手续的完整。</w:t>
      </w:r>
    </w:p>
    <w:p>
      <w:pPr>
        <w:ind w:firstLine="640" w:firstLineChars="200"/>
        <w:jc w:val="left"/>
        <w:rPr>
          <w:rFonts w:cs="黑体" w:asciiTheme="minorEastAsia" w:hAnsiTheme="minorEastAsia"/>
          <w:color w:val="000000"/>
          <w:kern w:val="0"/>
          <w:sz w:val="32"/>
          <w:szCs w:val="32"/>
        </w:rPr>
      </w:pPr>
    </w:p>
    <w:p>
      <w:pPr>
        <w:ind w:firstLine="420" w:firstLineChars="200"/>
      </w:pPr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ZmYjQxNjk4Y2QzMmY1NDY0MTdiNjM3MTFhYmFjMDAifQ=="/>
  </w:docVars>
  <w:rsids>
    <w:rsidRoot w:val="00000000"/>
    <w:rsid w:val="78DA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2022-11-14T01:28:38Z</dcterms:created>
  <dc:creator>zz</dc:creator>
  <cp:lastModifiedBy>RB</cp:lastModifiedBy>
  <dcterms:modified xsi:type="dcterms:W3CDTF">2022-11-14T01:30:02Z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AF7A3D49D1334FCA82F17ECA2D6C9700</vt:lpwstr>
  </property>
</Properties>
</file>